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341" w:type="dxa"/>
        <w:jc w:val="center"/>
        <w:tblInd w:w="238" w:type="dxa"/>
        <w:shd w:val="clear" w:color="auto" w:fill="auto"/>
        <w:tblLayout w:type="fixed"/>
        <w:tblCellMar>
          <w:top w:w="0" w:type="dxa"/>
          <w:left w:w="0" w:type="dxa"/>
          <w:bottom w:w="0" w:type="dxa"/>
          <w:right w:w="0" w:type="dxa"/>
        </w:tblCellMar>
      </w:tblPr>
      <w:tblGrid>
        <w:gridCol w:w="1022"/>
        <w:gridCol w:w="2492"/>
        <w:gridCol w:w="317"/>
        <w:gridCol w:w="2237"/>
        <w:gridCol w:w="1145"/>
        <w:gridCol w:w="2182"/>
        <w:gridCol w:w="946"/>
      </w:tblGrid>
      <w:tr>
        <w:tblPrEx>
          <w:shd w:val="clear" w:color="auto" w:fill="auto"/>
          <w:tblLayout w:type="fixed"/>
          <w:tblCellMar>
            <w:top w:w="0" w:type="dxa"/>
            <w:left w:w="0" w:type="dxa"/>
            <w:bottom w:w="0" w:type="dxa"/>
            <w:right w:w="0" w:type="dxa"/>
          </w:tblCellMar>
        </w:tblPrEx>
        <w:trPr>
          <w:trHeight w:val="762" w:hRule="atLeast"/>
          <w:jc w:val="center"/>
        </w:trPr>
        <w:tc>
          <w:tcPr>
            <w:tcW w:w="1034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bookmarkStart w:id="0" w:name="_GoBack"/>
            <w:r>
              <w:rPr>
                <w:rFonts w:hint="default"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设备名称</w:t>
            </w:r>
          </w:p>
        </w:tc>
        <w:tc>
          <w:tcPr>
            <w:tcW w:w="280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有创呼吸机</w:t>
            </w:r>
          </w:p>
        </w:tc>
        <w:tc>
          <w:tcPr>
            <w:tcW w:w="223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总数量（台/套）</w:t>
            </w:r>
          </w:p>
        </w:tc>
        <w:tc>
          <w:tcPr>
            <w:tcW w:w="11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10</w:t>
            </w:r>
          </w:p>
        </w:tc>
        <w:tc>
          <w:tcPr>
            <w:tcW w:w="218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预算总金额（万元）</w:t>
            </w:r>
          </w:p>
        </w:tc>
        <w:tc>
          <w:tcPr>
            <w:tcW w:w="9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180</w:t>
            </w:r>
          </w:p>
        </w:tc>
      </w:tr>
      <w:tr>
        <w:tblPrEx>
          <w:tblLayout w:type="fixed"/>
          <w:tblCellMar>
            <w:top w:w="0" w:type="dxa"/>
            <w:left w:w="0" w:type="dxa"/>
            <w:bottom w:w="0" w:type="dxa"/>
            <w:right w:w="0" w:type="dxa"/>
          </w:tblCellMar>
        </w:tblPrEx>
        <w:trPr>
          <w:trHeight w:val="615"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序号</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技术和性能参数名称</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招标参数和性能要求</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适用于成人、儿童患者的通气支持</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具备CFDA认证</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具备FDA认证</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主屏幕</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≥12英寸彩色触屏</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有创通气基本模式</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容量控制、同步间歇指令模式、双水平气道正压通气模式、自主呼吸支持模式、后备通气模式</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无创通气基本模式</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容量控制、同步间歇指令模式、双水平气道正压通气模式、自主呼吸支持模式、后备通气模式</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潮气量</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(20－2000)ml，最大允许误差≤15%</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吸气压力</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（1-99）cmH2O</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PEEP</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（0-50）cmH2O</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呼吸频率</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（4－80）次/分，最大允许误差≤10%或≤±1次/分（取绝对值大者）</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波形监测</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同屏实时显示压力-时间曲线、流速-时间曲线、容量-时间曲线</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吸呼比</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≥（140：1-1:140）</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3.10 </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智能吸痰程序</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具备智能吸痰程序功能</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雾化功能</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具备呼吸机雾化功能</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消毒</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呼出气体经过的部件均可以拆卸消毒</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·3.13</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流量传感器</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热丝流量传感器</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氧传感器</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寿命≥3年</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呼吸机峰值流速</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Style w:val="6"/>
                <w:lang w:val="en-US" w:eastAsia="zh-CN" w:bidi="ar"/>
              </w:rPr>
              <w:t>240</w:t>
            </w:r>
            <w:r>
              <w:rPr>
                <w:rStyle w:val="7"/>
                <w:rFonts w:eastAsia="宋体"/>
                <w:lang w:val="en-US" w:eastAsia="zh-CN" w:bidi="ar"/>
              </w:rPr>
              <w:t>L/min</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*3.16</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转运功能</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支持院内转运，电池工作时间≥40min</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3.17</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报警功能</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分级报警,全中文提示报警信息；气道压力高、低报警；呼出潮气量过高过低报警；呼出频率过高报警；分钟通气量高、低报警；窒息报警，并可设置各种窒息通气模式及参数确保病人安全</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配置需求（每台套）</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呼吸机主机1台、车架1台、机械臂1个、费雪派克MR810湿化器1套，病人管路2套</w:t>
            </w:r>
          </w:p>
        </w:tc>
        <w:tc>
          <w:tcPr>
            <w:tcW w:w="94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49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物联网支持功能</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联网要求</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设备具备物联网功能,能够通过有线或者无线的方式联网。数据内容包括设备运行状态和关键系统参数等。对于监护仪、呼吸机等生命支持类设备，应包括波形、体征、报警等信息。</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技术文件</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设备厂商向院方提供详细的有关接口形式和数据传输协议的说明文档，交由物联网项目组验收,并配合院方解决设备联网相关问题。</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6.10 </w:t>
            </w:r>
          </w:p>
        </w:tc>
        <w:tc>
          <w:tcPr>
            <w:tcW w:w="2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5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34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简体">
    <w:altName w:val="宋体-方正超大字符集"/>
    <w:panose1 w:val="00000000000000000000"/>
    <w:charset w:val="00"/>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30388"/>
    <w:rsid w:val="78310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31"/>
    <w:basedOn w:val="3"/>
    <w:qFormat/>
    <w:uiPriority w:val="0"/>
    <w:rPr>
      <w:rFonts w:hint="eastAsia" w:ascii="宋体" w:hAnsi="宋体" w:eastAsia="宋体" w:cs="宋体"/>
      <w:color w:val="000000"/>
      <w:sz w:val="20"/>
      <w:szCs w:val="20"/>
      <w:u w:val="none"/>
    </w:rPr>
  </w:style>
  <w:style w:type="character" w:customStyle="1" w:styleId="5">
    <w:name w:val="font81"/>
    <w:basedOn w:val="3"/>
    <w:qFormat/>
    <w:uiPriority w:val="0"/>
    <w:rPr>
      <w:rFonts w:hint="eastAsia" w:ascii="仿宋_GB2312" w:eastAsia="仿宋_GB2312" w:cs="仿宋_GB2312"/>
      <w:color w:val="000000"/>
      <w:sz w:val="20"/>
      <w:szCs w:val="20"/>
      <w:u w:val="none"/>
    </w:rPr>
  </w:style>
  <w:style w:type="character" w:customStyle="1" w:styleId="6">
    <w:name w:val="font01"/>
    <w:basedOn w:val="3"/>
    <w:qFormat/>
    <w:uiPriority w:val="0"/>
    <w:rPr>
      <w:rFonts w:hint="eastAsia" w:ascii="宋体" w:hAnsi="宋体" w:eastAsia="宋体" w:cs="宋体"/>
      <w:color w:val="000000"/>
      <w:sz w:val="22"/>
      <w:szCs w:val="22"/>
      <w:u w:val="none"/>
    </w:rPr>
  </w:style>
  <w:style w:type="character" w:customStyle="1" w:styleId="7">
    <w:name w:val="font141"/>
    <w:basedOn w:val="3"/>
    <w:qFormat/>
    <w:uiPriority w:val="0"/>
    <w:rPr>
      <w:rFonts w:ascii="Calibri" w:hAnsi="Calibri" w:cs="Calibri"/>
      <w:color w:val="000000"/>
      <w:sz w:val="22"/>
      <w:szCs w:val="22"/>
      <w:u w:val="none"/>
    </w:rPr>
  </w:style>
  <w:style w:type="character" w:customStyle="1" w:styleId="8">
    <w:name w:val="font121"/>
    <w:basedOn w:val="3"/>
    <w:qFormat/>
    <w:uiPriority w:val="0"/>
    <w:rPr>
      <w:rFonts w:hint="default" w:ascii="Wingdings" w:hAnsi="Wingdings" w:cs="Wingdings"/>
      <w:color w:val="000000"/>
      <w:sz w:val="22"/>
      <w:szCs w:val="22"/>
      <w:u w:val="none"/>
    </w:rPr>
  </w:style>
  <w:style w:type="character" w:customStyle="1" w:styleId="9">
    <w:name w:val="font31"/>
    <w:basedOn w:val="3"/>
    <w:qFormat/>
    <w:uiPriority w:val="0"/>
    <w:rPr>
      <w:rFonts w:hint="eastAsia" w:ascii="宋体" w:hAnsi="宋体" w:eastAsia="宋体" w:cs="宋体"/>
      <w:color w:val="000000"/>
      <w:sz w:val="24"/>
      <w:szCs w:val="24"/>
      <w:u w:val="none"/>
    </w:rPr>
  </w:style>
  <w:style w:type="character" w:customStyle="1" w:styleId="10">
    <w:name w:val="font51"/>
    <w:basedOn w:val="3"/>
    <w:qFormat/>
    <w:uiPriority w:val="0"/>
    <w:rPr>
      <w:rFonts w:hint="default" w:ascii="Times New Roman" w:hAnsi="Times New Roman" w:cs="Times New Roman"/>
      <w:color w:val="000000"/>
      <w:sz w:val="24"/>
      <w:szCs w:val="24"/>
      <w:u w:val="none"/>
    </w:rPr>
  </w:style>
  <w:style w:type="character" w:customStyle="1" w:styleId="11">
    <w:name w:val="font151"/>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2023-05-06T02:06:00Z</dcterms:created>
  <dc:creator>doctor</dc:creator>
  <cp:lastModifiedBy>doctor</cp:lastModifiedBy>
  <dcterms:modified xsi:type="dcterms:W3CDTF">2023-06-05T09:00:26Z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